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color w:val="000000"/>
          <w:sz w:val="24"/>
          <w:szCs w:val="24"/>
          <w:rtl w:val="0"/>
        </w:rPr>
        <w:t xml:space="preserve">RM6289</w:t>
      </w:r>
      <w:r w:rsidDel="00000000" w:rsidR="00000000" w:rsidRPr="00000000">
        <w:rPr>
          <w:rFonts w:ascii="Arial" w:cs="Arial" w:eastAsia="Arial" w:hAnsi="Arial"/>
          <w:sz w:val="24"/>
          <w:szCs w:val="24"/>
          <w:rtl w:val="0"/>
        </w:rPr>
        <w:t xml:space="preserve"> for the provision of Power Purchase Agreements.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RM6289</w:t>
      </w:r>
      <w:r w:rsidDel="00000000" w:rsidR="00000000" w:rsidRPr="00000000">
        <w:rPr>
          <w:rFonts w:ascii="Arial" w:cs="Arial" w:eastAsia="Arial" w:hAnsi="Arial"/>
          <w:b w:val="1"/>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RM6289</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 xml:space="preserve"> ]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 xml:space="preserve"> </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25 (Call-Off PPA Terms)</w:t>
        <w:tab/>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26 (Availability Guarantee)</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27 (Environmental Attributes)</w:t>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28 (Calculation of Termination Amount)</w:t>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29 (Form of Lender’s Direct Agreement)</w:t>
        <w:tab/>
        <w:t xml:space="preserv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30 (Sleeving Arrangements)</w:t>
        <w:tab/>
        <w:tab/>
        <w:tab/>
        <w:t xml:space="preserve">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31 (New Build Facilities)</w:t>
        <w:tab/>
        <w:tab/>
        <w:tab/>
        <w:tab/>
        <w:t xml:space="preserve">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pPr>
      <w:r w:rsidDel="00000000" w:rsidR="00000000" w:rsidRPr="00000000">
        <w:rPr>
          <w:rFonts w:ascii="Arial" w:cs="Arial" w:eastAsia="Arial" w:hAnsi="Arial"/>
          <w:sz w:val="24"/>
          <w:szCs w:val="24"/>
          <w:highlight w:val="yellow"/>
          <w:rtl w:val="0"/>
        </w:rPr>
        <w:t xml:space="preserve">[Call-Off Schedule 32 (PPA Contracting Structure)</w:t>
        <w:tab/>
        <w:tab/>
        <w:tab/>
        <w:t xml:space="preserve"> ]</w:t>
      </w:r>
      <w:r w:rsidDel="00000000" w:rsidR="00000000" w:rsidRPr="00000000">
        <w:rPr>
          <w:rtl w:val="0"/>
        </w:rPr>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RM6289</w:t>
      </w:r>
      <w:r w:rsidDel="00000000" w:rsidR="00000000" w:rsidRPr="00000000">
        <w:rPr>
          <w:rFonts w:ascii="Arial" w:cs="Arial" w:eastAsia="Arial" w:hAnsi="Arial"/>
          <w:b w:val="1"/>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 Core Terms Clause 3.1.2 (</w:t>
      </w:r>
      <w:r w:rsidDel="00000000" w:rsidR="00000000" w:rsidRPr="00000000">
        <w:rPr>
          <w:rFonts w:ascii="Arial" w:cs="Arial" w:eastAsia="Arial" w:hAnsi="Arial"/>
          <w:i w:val="1"/>
          <w:sz w:val="24"/>
          <w:szCs w:val="24"/>
          <w:rtl w:val="0"/>
        </w:rPr>
        <w:t xml:space="preserve">All deliverables</w:t>
      </w:r>
      <w:r w:rsidDel="00000000" w:rsidR="00000000" w:rsidRPr="00000000">
        <w:rPr>
          <w:rFonts w:ascii="Arial" w:cs="Arial" w:eastAsia="Arial" w:hAnsi="Arial"/>
          <w:sz w:val="24"/>
          <w:szCs w:val="24"/>
          <w:rtl w:val="0"/>
        </w:rPr>
        <w:t xml:space="preserve">) does not apply to the Call-Off Contract;</w:t>
      </w:r>
    </w:p>
    <w:p w:rsidR="00000000" w:rsidDel="00000000" w:rsidP="00000000" w:rsidRDefault="00000000" w:rsidRPr="00000000" w14:paraId="0000005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 Core Terms Clause 3.2.5 (</w:t>
      </w:r>
      <w:r w:rsidDel="00000000" w:rsidR="00000000" w:rsidRPr="00000000">
        <w:rPr>
          <w:rFonts w:ascii="Arial" w:cs="Arial" w:eastAsia="Arial" w:hAnsi="Arial"/>
          <w:i w:val="1"/>
          <w:sz w:val="24"/>
          <w:szCs w:val="24"/>
          <w:rtl w:val="0"/>
        </w:rPr>
        <w:t xml:space="preserve">Goods clauses</w:t>
      </w:r>
      <w:r w:rsidDel="00000000" w:rsidR="00000000" w:rsidRPr="00000000">
        <w:rPr>
          <w:rFonts w:ascii="Arial" w:cs="Arial" w:eastAsia="Arial" w:hAnsi="Arial"/>
          <w:sz w:val="24"/>
          <w:szCs w:val="24"/>
          <w:rtl w:val="0"/>
        </w:rPr>
        <w:t xml:space="preserve">) applies to the Call-Off Contract.  The other provisions of Clause 3.2 (</w:t>
      </w:r>
      <w:r w:rsidDel="00000000" w:rsidR="00000000" w:rsidRPr="00000000">
        <w:rPr>
          <w:rFonts w:ascii="Arial" w:cs="Arial" w:eastAsia="Arial" w:hAnsi="Arial"/>
          <w:i w:val="1"/>
          <w:sz w:val="24"/>
          <w:szCs w:val="24"/>
          <w:rtl w:val="0"/>
        </w:rPr>
        <w:t xml:space="preserve">Goods clauses</w:t>
      </w:r>
      <w:r w:rsidDel="00000000" w:rsidR="00000000" w:rsidRPr="00000000">
        <w:rPr>
          <w:rFonts w:ascii="Arial" w:cs="Arial" w:eastAsia="Arial" w:hAnsi="Arial"/>
          <w:sz w:val="24"/>
          <w:szCs w:val="24"/>
          <w:rtl w:val="0"/>
        </w:rPr>
        <w:t xml:space="preserve">) do not apply to the Call-Off Contract (including the reference to Clause 3.2.10 (</w:t>
      </w:r>
      <w:r w:rsidDel="00000000" w:rsidR="00000000" w:rsidRPr="00000000">
        <w:rPr>
          <w:rFonts w:ascii="Arial" w:cs="Arial" w:eastAsia="Arial" w:hAnsi="Arial"/>
          <w:i w:val="1"/>
          <w:sz w:val="24"/>
          <w:szCs w:val="24"/>
          <w:rtl w:val="0"/>
        </w:rPr>
        <w:t xml:space="preserve">Goods clauses</w:t>
      </w:r>
      <w:r w:rsidDel="00000000" w:rsidR="00000000" w:rsidRPr="00000000">
        <w:rPr>
          <w:rFonts w:ascii="Arial" w:cs="Arial" w:eastAsia="Arial" w:hAnsi="Arial"/>
          <w:sz w:val="24"/>
          <w:szCs w:val="24"/>
          <w:rtl w:val="0"/>
        </w:rPr>
        <w:t xml:space="preserve">) in Clause 10.6.5 (</w:t>
      </w:r>
      <w:r w:rsidDel="00000000" w:rsidR="00000000" w:rsidRPr="00000000">
        <w:rPr>
          <w:rFonts w:ascii="Arial" w:cs="Arial" w:eastAsia="Arial" w:hAnsi="Arial"/>
          <w:i w:val="1"/>
          <w:sz w:val="24"/>
          <w:szCs w:val="24"/>
          <w:rtl w:val="0"/>
        </w:rPr>
        <w:t xml:space="preserve">What happens if the contract ends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D">
      <w:pPr>
        <w:tabs>
          <w:tab w:val="left" w:leader="none" w:pos="2257"/>
        </w:tabs>
        <w:spacing w:after="0" w:line="259" w:lineRule="auto"/>
        <w:rPr>
          <w:sz w:val="24"/>
          <w:szCs w:val="24"/>
        </w:rPr>
      </w:pPr>
      <w:r w:rsidDel="00000000" w:rsidR="00000000" w:rsidRPr="00000000">
        <w:rPr>
          <w:rtl w:val="0"/>
        </w:rPr>
      </w:r>
    </w:p>
    <w:p w:rsidR="00000000" w:rsidDel="00000000" w:rsidP="00000000" w:rsidRDefault="00000000" w:rsidRPr="00000000" w14:paraId="0000005E">
      <w:pPr>
        <w:tabs>
          <w:tab w:val="left" w:leader="none" w:pos="2257"/>
        </w:tabs>
        <w:spacing w:after="0" w:line="259" w:lineRule="auto"/>
        <w:rPr>
          <w:sz w:val="24"/>
          <w:szCs w:val="24"/>
        </w:rPr>
      </w:pPr>
      <w:r w:rsidDel="00000000" w:rsidR="00000000" w:rsidRPr="00000000">
        <w:rPr>
          <w:sz w:val="24"/>
          <w:szCs w:val="24"/>
          <w:rtl w:val="0"/>
        </w:rPr>
        <w:t xml:space="preserve">Special Term 3. Core Terms Clause 3.3.1 (</w:t>
      </w:r>
      <w:r w:rsidDel="00000000" w:rsidR="00000000" w:rsidRPr="00000000">
        <w:rPr>
          <w:i w:val="1"/>
          <w:sz w:val="24"/>
          <w:szCs w:val="24"/>
          <w:rtl w:val="0"/>
        </w:rPr>
        <w:t xml:space="preserve">Services clause</w:t>
      </w:r>
      <w:r w:rsidDel="00000000" w:rsidR="00000000" w:rsidRPr="00000000">
        <w:rPr>
          <w:sz w:val="24"/>
          <w:szCs w:val="24"/>
          <w:rtl w:val="0"/>
        </w:rPr>
        <w:t xml:space="preserve">) does not apply to the Call-Off Contract in respect of a delay in achieving the Actual COD (Paragraphs 3.2 (</w:t>
      </w:r>
      <w:r w:rsidDel="00000000" w:rsidR="00000000" w:rsidRPr="00000000">
        <w:rPr>
          <w:i w:val="1"/>
          <w:sz w:val="24"/>
          <w:szCs w:val="24"/>
          <w:rtl w:val="0"/>
        </w:rPr>
        <w:t xml:space="preserve">Delays to Construction</w:t>
      </w:r>
      <w:r w:rsidDel="00000000" w:rsidR="00000000" w:rsidRPr="00000000">
        <w:rPr>
          <w:sz w:val="24"/>
          <w:szCs w:val="24"/>
          <w:rtl w:val="0"/>
        </w:rPr>
        <w:t xml:space="preserve">), 3.3 (</w:t>
      </w:r>
      <w:r w:rsidDel="00000000" w:rsidR="00000000" w:rsidRPr="00000000">
        <w:rPr>
          <w:i w:val="1"/>
          <w:sz w:val="24"/>
          <w:szCs w:val="24"/>
          <w:rtl w:val="0"/>
        </w:rPr>
        <w:t xml:space="preserve">Delay Damages</w:t>
      </w:r>
      <w:r w:rsidDel="00000000" w:rsidR="00000000" w:rsidRPr="00000000">
        <w:rPr>
          <w:sz w:val="24"/>
          <w:szCs w:val="24"/>
          <w:rtl w:val="0"/>
        </w:rPr>
        <w:t xml:space="preserve">) and Paragraph 3.4 (</w:t>
      </w:r>
      <w:r w:rsidDel="00000000" w:rsidR="00000000" w:rsidRPr="00000000">
        <w:rPr>
          <w:i w:val="1"/>
          <w:sz w:val="24"/>
          <w:szCs w:val="24"/>
          <w:rtl w:val="0"/>
        </w:rPr>
        <w:t xml:space="preserve">Replacement Facility</w:t>
      </w:r>
      <w:r w:rsidDel="00000000" w:rsidR="00000000" w:rsidRPr="00000000">
        <w:rPr>
          <w:sz w:val="24"/>
          <w:szCs w:val="24"/>
          <w:rtl w:val="0"/>
        </w:rPr>
        <w:t xml:space="preserve">) of Call-Off Schedule 31 (</w:t>
      </w:r>
      <w:r w:rsidDel="00000000" w:rsidR="00000000" w:rsidRPr="00000000">
        <w:rPr>
          <w:i w:val="1"/>
          <w:sz w:val="24"/>
          <w:szCs w:val="24"/>
          <w:rtl w:val="0"/>
        </w:rPr>
        <w:t xml:space="preserve">New Build Facilities</w:t>
      </w:r>
      <w:r w:rsidDel="00000000" w:rsidR="00000000" w:rsidRPr="00000000">
        <w:rPr>
          <w:sz w:val="24"/>
          <w:szCs w:val="24"/>
          <w:rtl w:val="0"/>
        </w:rPr>
        <w:t xml:space="preserve">) apply instead);</w:t>
      </w:r>
    </w:p>
    <w:p w:rsidR="00000000" w:rsidDel="00000000" w:rsidP="00000000" w:rsidRDefault="00000000" w:rsidRPr="00000000" w14:paraId="0000005F">
      <w:pPr>
        <w:tabs>
          <w:tab w:val="left" w:leader="none" w:pos="2257"/>
        </w:tabs>
        <w:spacing w:after="0" w:line="259" w:lineRule="auto"/>
        <w:rPr>
          <w:sz w:val="24"/>
          <w:szCs w:val="24"/>
        </w:rPr>
      </w:pPr>
      <w:r w:rsidDel="00000000" w:rsidR="00000000" w:rsidRPr="00000000">
        <w:rPr>
          <w:rtl w:val="0"/>
        </w:rPr>
      </w:r>
    </w:p>
    <w:p w:rsidR="00000000" w:rsidDel="00000000" w:rsidP="00000000" w:rsidRDefault="00000000" w:rsidRPr="00000000" w14:paraId="00000060">
      <w:pPr>
        <w:tabs>
          <w:tab w:val="left" w:leader="none" w:pos="2257"/>
        </w:tabs>
        <w:spacing w:after="0" w:line="259" w:lineRule="auto"/>
        <w:rPr>
          <w:sz w:val="24"/>
          <w:szCs w:val="24"/>
        </w:rPr>
      </w:pPr>
      <w:r w:rsidDel="00000000" w:rsidR="00000000" w:rsidRPr="00000000">
        <w:rPr>
          <w:sz w:val="24"/>
          <w:szCs w:val="24"/>
          <w:rtl w:val="0"/>
        </w:rPr>
        <w:t xml:space="preserve">Special Term 4. Core Terms Clause 4.9 (</w:t>
      </w:r>
      <w:r w:rsidDel="00000000" w:rsidR="00000000" w:rsidRPr="00000000">
        <w:rPr>
          <w:i w:val="1"/>
          <w:sz w:val="24"/>
          <w:szCs w:val="24"/>
          <w:rtl w:val="0"/>
        </w:rPr>
        <w:t xml:space="preserve">Pricing and payments</w:t>
      </w:r>
      <w:r w:rsidDel="00000000" w:rsidR="00000000" w:rsidRPr="00000000">
        <w:rPr>
          <w:sz w:val="24"/>
          <w:szCs w:val="24"/>
          <w:rtl w:val="0"/>
        </w:rPr>
        <w:t xml:space="preserve">) does not apply to the Call-Off Contract;</w:t>
      </w:r>
    </w:p>
    <w:p w:rsidR="00000000" w:rsidDel="00000000" w:rsidP="00000000" w:rsidRDefault="00000000" w:rsidRPr="00000000" w14:paraId="00000061">
      <w:pPr>
        <w:tabs>
          <w:tab w:val="left" w:leader="none" w:pos="2257"/>
        </w:tabs>
        <w:spacing w:after="0" w:line="259" w:lineRule="auto"/>
        <w:rPr>
          <w:sz w:val="24"/>
          <w:szCs w:val="24"/>
        </w:rPr>
      </w:pPr>
      <w:r w:rsidDel="00000000" w:rsidR="00000000" w:rsidRPr="00000000">
        <w:rPr>
          <w:rtl w:val="0"/>
        </w:rPr>
      </w:r>
    </w:p>
    <w:p w:rsidR="00000000" w:rsidDel="00000000" w:rsidP="00000000" w:rsidRDefault="00000000" w:rsidRPr="00000000" w14:paraId="00000062">
      <w:pPr>
        <w:tabs>
          <w:tab w:val="left" w:leader="none" w:pos="2257"/>
        </w:tabs>
        <w:spacing w:after="0" w:line="259" w:lineRule="auto"/>
        <w:rPr>
          <w:sz w:val="24"/>
          <w:szCs w:val="24"/>
        </w:rPr>
      </w:pPr>
      <w:r w:rsidDel="00000000" w:rsidR="00000000" w:rsidRPr="00000000">
        <w:rPr>
          <w:sz w:val="24"/>
          <w:szCs w:val="24"/>
          <w:rtl w:val="0"/>
        </w:rPr>
        <w:t xml:space="preserve">Special Term 5. Core Terms Clause 10.2.2 (</w:t>
      </w:r>
      <w:r w:rsidDel="00000000" w:rsidR="00000000" w:rsidRPr="00000000">
        <w:rPr>
          <w:i w:val="1"/>
          <w:sz w:val="24"/>
          <w:szCs w:val="24"/>
          <w:rtl w:val="0"/>
        </w:rPr>
        <w:t xml:space="preserve">Ending the contract without a reason</w:t>
      </w:r>
      <w:r w:rsidDel="00000000" w:rsidR="00000000" w:rsidRPr="00000000">
        <w:rPr>
          <w:sz w:val="24"/>
          <w:szCs w:val="24"/>
          <w:rtl w:val="0"/>
        </w:rPr>
        <w:t xml:space="preserve">) does not apply to the Call-Off Contract; and</w:t>
      </w:r>
    </w:p>
    <w:p w:rsidR="00000000" w:rsidDel="00000000" w:rsidP="00000000" w:rsidRDefault="00000000" w:rsidRPr="00000000" w14:paraId="00000063">
      <w:pPr>
        <w:tabs>
          <w:tab w:val="left" w:leader="none" w:pos="2257"/>
        </w:tabs>
        <w:spacing w:after="0" w:line="259" w:lineRule="auto"/>
        <w:rPr>
          <w:sz w:val="24"/>
          <w:szCs w:val="24"/>
        </w:rPr>
      </w:pPr>
      <w:r w:rsidDel="00000000" w:rsidR="00000000" w:rsidRPr="00000000">
        <w:rPr>
          <w:rtl w:val="0"/>
        </w:rPr>
      </w:r>
    </w:p>
    <w:p w:rsidR="00000000" w:rsidDel="00000000" w:rsidP="00000000" w:rsidRDefault="00000000" w:rsidRPr="00000000" w14:paraId="00000064">
      <w:pPr>
        <w:tabs>
          <w:tab w:val="left" w:leader="none" w:pos="2257"/>
        </w:tabs>
        <w:spacing w:after="0" w:line="259" w:lineRule="auto"/>
        <w:rPr>
          <w:sz w:val="24"/>
          <w:szCs w:val="24"/>
        </w:rPr>
      </w:pPr>
      <w:r w:rsidDel="00000000" w:rsidR="00000000" w:rsidRPr="00000000">
        <w:rPr>
          <w:sz w:val="24"/>
          <w:szCs w:val="24"/>
          <w:rtl w:val="0"/>
        </w:rPr>
        <w:t xml:space="preserve">Special Term 6. Core Terms Clause 11.1 (</w:t>
      </w:r>
      <w:r w:rsidDel="00000000" w:rsidR="00000000" w:rsidRPr="00000000">
        <w:rPr>
          <w:i w:val="1"/>
          <w:sz w:val="24"/>
          <w:szCs w:val="24"/>
          <w:rtl w:val="0"/>
        </w:rPr>
        <w:t xml:space="preserve">How much you can be held responsible for</w:t>
      </w:r>
      <w:r w:rsidDel="00000000" w:rsidR="00000000" w:rsidRPr="00000000">
        <w:rPr>
          <w:sz w:val="24"/>
          <w:szCs w:val="24"/>
          <w:rtl w:val="0"/>
        </w:rPr>
        <w:t xml:space="preserve">) does not apply to the Call-Off Contract.</w:t>
      </w:r>
    </w:p>
    <w:p w:rsidR="00000000" w:rsidDel="00000000" w:rsidP="00000000" w:rsidRDefault="00000000" w:rsidRPr="00000000" w14:paraId="00000065">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ab/>
        <w:tab/>
        <w:tab/>
        <w:tab/>
        <w:tab/>
        <w:tab/>
        <w:tab/>
        <w:tab/>
      </w: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the Call-Off Contract is subject to Call-Off Conditions Precedent, the date on which the Call-Off Contract Conditions Precedent have all been met or waived by the Buyer.  If the Call-Off Contract is not subject to Call-Off Conditions Precedent, [the Effective Date of the Call-Off Contract] </w:t>
      </w:r>
      <w:r w:rsidDel="00000000" w:rsidR="00000000" w:rsidRPr="00000000">
        <w:rPr>
          <w:rFonts w:ascii="Arial" w:cs="Arial" w:eastAsia="Arial" w:hAnsi="Arial"/>
          <w:sz w:val="24"/>
          <w:szCs w:val="24"/>
          <w:highlight w:val="yellow"/>
          <w:rtl w:val="0"/>
        </w:rPr>
        <w:t xml:space="preserve">OR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  </w:t>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Select the applicable option]</w:t>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w:t>
      </w:r>
    </w:p>
    <w:p w:rsidR="00000000" w:rsidDel="00000000" w:rsidP="00000000" w:rsidRDefault="00000000" w:rsidRPr="00000000" w14:paraId="0000007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Goods to be procured by a Buyer under a Call-Off Contract shall be renewable energy from the form(s) of generation permitted in this Order Form and associated Environmental Attributes.  In particular, the Supplier shall physically deliver to the Buyer the Buyer's Percentage of Electrical Energy produced by the Facility or Facilities subject to the Call-Off Contract and all of the Environmental Attributes associated with that Electrical Energy.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to be procured by a Buyer under a Call-Off Contract shall be all of the obligations and required activities and obligations of the Supplier under the Call-Off Contract. </w:t>
      </w:r>
    </w:p>
    <w:p w:rsidR="00000000" w:rsidDel="00000000" w:rsidP="00000000" w:rsidRDefault="00000000" w:rsidRPr="00000000" w14:paraId="0000007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GENERATION TYPE</w:t>
      </w:r>
    </w:p>
    <w:p w:rsidR="00000000" w:rsidDel="00000000" w:rsidP="00000000" w:rsidRDefault="00000000" w:rsidRPr="00000000" w14:paraId="00000074">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Buyer’s permitted form of generation, for example wind or solar photovoltaic energy]</w:t>
      </w:r>
    </w:p>
    <w:p w:rsidR="00000000" w:rsidDel="00000000" w:rsidP="00000000" w:rsidRDefault="00000000" w:rsidRPr="00000000" w14:paraId="0000007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OPERATIONAL FACILITY OR NEW BUILD FACILITY </w:t>
      </w:r>
    </w:p>
    <w:p w:rsidR="00000000" w:rsidDel="00000000" w:rsidP="00000000" w:rsidRDefault="00000000" w:rsidRPr="00000000" w14:paraId="0000007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 to specify if they are looking to procure Electrical Energy from an operational Facility or a New Build Facility]</w:t>
      </w:r>
    </w:p>
    <w:p w:rsidR="00000000" w:rsidDel="00000000" w:rsidP="00000000" w:rsidRDefault="00000000" w:rsidRPr="00000000" w14:paraId="0000007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MINIMUM REQUIRED VOLUME OF ELECTRICAL ENERGY</w:t>
      </w:r>
    </w:p>
    <w:p w:rsidR="00000000" w:rsidDel="00000000" w:rsidP="00000000" w:rsidRDefault="00000000" w:rsidRPr="00000000" w14:paraId="0000007A">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b w:val="1"/>
          <w:sz w:val="24"/>
          <w:szCs w:val="24"/>
          <w:rtl w:val="0"/>
        </w:rPr>
        <w:t xml:space="preserve">Insert</w:t>
      </w:r>
      <w:r w:rsidDel="00000000" w:rsidR="00000000" w:rsidRPr="00000000">
        <w:rPr>
          <w:rFonts w:ascii="Arial" w:cs="Arial" w:eastAsia="Arial" w:hAnsi="Arial"/>
          <w:sz w:val="24"/>
          <w:szCs w:val="24"/>
          <w:rtl w:val="0"/>
        </w:rPr>
        <w:t xml:space="preserve"> minimum volume of Electrical Energy (in </w:t>
      </w:r>
      <w:r w:rsidDel="00000000" w:rsidR="00000000" w:rsidRPr="00000000">
        <w:rPr>
          <w:rtl w:val="0"/>
        </w:rPr>
        <w:t xml:space="preserve">MWh or GWh) that a Buyer will procure for each year under the Call-Off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REQUIRED VOLUME OF ELECTRICAL ENERGY </w:t>
      </w:r>
    </w:p>
    <w:p w:rsidR="00000000" w:rsidDel="00000000" w:rsidP="00000000" w:rsidRDefault="00000000" w:rsidRPr="00000000" w14:paraId="0000007D">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Insert maximum volume of Electrical Energy (in </w:t>
      </w:r>
      <w:r w:rsidDel="00000000" w:rsidR="00000000" w:rsidRPr="00000000">
        <w:rPr>
          <w:sz w:val="24"/>
          <w:szCs w:val="24"/>
          <w:rtl w:val="0"/>
        </w:rPr>
        <w:t xml:space="preserve">MWh or GWh) that a Buyer will procure for each year under the Call-Off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spacing w:after="0" w:line="259" w:lineRule="auto"/>
        <w:rPr>
          <w:rFonts w:ascii="Arial" w:cs="Arial" w:eastAsia="Arial" w:hAnsi="Arial"/>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rtl w:val="0"/>
        </w:rPr>
        <w:t xml:space="preserve">  The Supplier will be requested to bid a Facility with a capacity or percentage of capacity capable of generating a volume between the minimum and the maximum. Providing a range will give more options to the Supplier, but Buyers will be able to specify the same number for the minimum and maximum.  The Supplier will specify a volume in Call-Off Schedule 4 (</w:t>
      </w:r>
      <w:r w:rsidDel="00000000" w:rsidR="00000000" w:rsidRPr="00000000">
        <w:rPr>
          <w:i w:val="1"/>
          <w:sz w:val="24"/>
          <w:szCs w:val="24"/>
          <w:rtl w:val="0"/>
        </w:rPr>
        <w:t xml:space="preserve">Call-Off Tender</w:t>
      </w:r>
      <w:r w:rsidDel="00000000" w:rsidR="00000000" w:rsidRPr="00000000">
        <w:rPr>
          <w:sz w:val="24"/>
          <w:szCs w:val="24"/>
          <w:rtl w:val="0"/>
        </w:rPr>
        <w:t xml:space="preserve">), which will become the Buyer's Expected Capacity. The amount bid in by Suppliers (within this range) would then become the Buyer’s Capacity under the Call-Off Contract]</w:t>
      </w:r>
      <w:r w:rsidDel="00000000" w:rsidR="00000000" w:rsidRPr="00000000">
        <w:rPr>
          <w:rtl w:val="0"/>
        </w:rPr>
      </w:r>
    </w:p>
    <w:p w:rsidR="00000000" w:rsidDel="00000000" w:rsidP="00000000" w:rsidRDefault="00000000" w:rsidRPr="00000000" w14:paraId="0000008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EXPECTED COD RANGE</w:t>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Buyer to specify an acceptable range of dates for Expected COD, which will be fixed in the Call-Off Contract]</w:t>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 BUYER</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of the Buyer under this Call-Off Contract is [stated in Clause 11.2 </w:t>
      </w:r>
      <w:r w:rsidDel="00000000" w:rsidR="00000000" w:rsidRPr="00000000">
        <w:rPr>
          <w:sz w:val="24"/>
          <w:szCs w:val="24"/>
          <w:rtl w:val="0"/>
        </w:rPr>
        <w:t xml:space="preserve">(</w:t>
      </w:r>
      <w:r w:rsidDel="00000000" w:rsidR="00000000" w:rsidRPr="00000000">
        <w:rPr>
          <w:i w:val="1"/>
          <w:sz w:val="24"/>
          <w:szCs w:val="24"/>
          <w:rtl w:val="0"/>
        </w:rPr>
        <w:t xml:space="preserve">How much you can be held responsible for</w:t>
      </w:r>
      <w:r w:rsidDel="00000000" w:rsidR="00000000" w:rsidRPr="00000000">
        <w:rPr>
          <w:sz w:val="24"/>
          <w:szCs w:val="24"/>
          <w:rtl w:val="0"/>
        </w:rPr>
        <w:t xml:space="preserve">) of the Core Terms] [OR] [[●]]. </w:t>
      </w: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Select the appropriate option.  You can change the cap on liability in Clause 11.2 </w:t>
      </w:r>
      <w:r w:rsidDel="00000000" w:rsidR="00000000" w:rsidRPr="00000000">
        <w:rPr>
          <w:sz w:val="24"/>
          <w:szCs w:val="24"/>
          <w:rtl w:val="0"/>
        </w:rPr>
        <w:t xml:space="preserve">(</w:t>
      </w:r>
      <w:r w:rsidDel="00000000" w:rsidR="00000000" w:rsidRPr="00000000">
        <w:rPr>
          <w:i w:val="1"/>
          <w:sz w:val="24"/>
          <w:szCs w:val="24"/>
          <w:rtl w:val="0"/>
        </w:rPr>
        <w:t xml:space="preserve">How much you can be held responsible for</w:t>
      </w:r>
      <w:r w:rsidDel="00000000" w:rsidR="00000000" w:rsidRPr="00000000">
        <w:rPr>
          <w:sz w:val="24"/>
          <w:szCs w:val="24"/>
          <w:rtl w:val="0"/>
        </w:rPr>
        <w:t xml:space="preserve">) where you have made an appropriate risk assessment and sought the necessary management approvals. </w:t>
      </w:r>
      <w:r w:rsidDel="00000000" w:rsidR="00000000" w:rsidRPr="00000000">
        <w:rPr>
          <w:rFonts w:ascii="Arial" w:cs="Arial" w:eastAsia="Arial" w:hAnsi="Arial"/>
          <w:sz w:val="24"/>
          <w:szCs w:val="24"/>
          <w:rtl w:val="0"/>
        </w:rPr>
        <w:t xml:space="preserve">Unlimited liability is not permitted.]</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 SUPPLIER</w:t>
      </w:r>
    </w:p>
    <w:p w:rsidR="00000000" w:rsidDel="00000000" w:rsidP="00000000" w:rsidRDefault="00000000" w:rsidRPr="00000000" w14:paraId="00000089">
      <w:pPr>
        <w:tabs>
          <w:tab w:val="left" w:leader="none" w:pos="2257"/>
        </w:tabs>
        <w:spacing w:after="0" w:line="259" w:lineRule="auto"/>
        <w:rPr>
          <w:rFonts w:ascii="Arial" w:cs="Arial" w:eastAsia="Arial" w:hAnsi="Arial"/>
          <w:b w:val="1"/>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The limitation of liability of the Supplier under this Call-Off Contract [is stated in Clause 11.2 </w:t>
      </w:r>
      <w:r w:rsidDel="00000000" w:rsidR="00000000" w:rsidRPr="00000000">
        <w:rPr>
          <w:sz w:val="24"/>
          <w:szCs w:val="24"/>
          <w:rtl w:val="0"/>
        </w:rPr>
        <w:t xml:space="preserve">(</w:t>
      </w:r>
      <w:r w:rsidDel="00000000" w:rsidR="00000000" w:rsidRPr="00000000">
        <w:rPr>
          <w:i w:val="1"/>
          <w:sz w:val="24"/>
          <w:szCs w:val="24"/>
          <w:rtl w:val="0"/>
        </w:rPr>
        <w:t xml:space="preserve">How much you can be held responsible for</w:t>
      </w:r>
      <w:r w:rsidDel="00000000" w:rsidR="00000000" w:rsidRPr="00000000">
        <w:rPr>
          <w:sz w:val="24"/>
          <w:szCs w:val="24"/>
          <w:rtl w:val="0"/>
        </w:rPr>
        <w:t xml:space="preserve">) of the Core Terms] [OR] [[●]]. </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rtl w:val="0"/>
        </w:rPr>
        <w:t xml:space="preserve"> Select the appropriate option.  You can change the cap on liability in Clause 11.2 </w:t>
      </w:r>
      <w:r w:rsidDel="00000000" w:rsidR="00000000" w:rsidRPr="00000000">
        <w:rPr>
          <w:sz w:val="24"/>
          <w:szCs w:val="24"/>
          <w:rtl w:val="0"/>
        </w:rPr>
        <w:t xml:space="preserve">(</w:t>
      </w:r>
      <w:r w:rsidDel="00000000" w:rsidR="00000000" w:rsidRPr="00000000">
        <w:rPr>
          <w:i w:val="1"/>
          <w:sz w:val="24"/>
          <w:szCs w:val="24"/>
          <w:rtl w:val="0"/>
        </w:rPr>
        <w:t xml:space="preserve">How much you can be held responsible for</w:t>
      </w:r>
      <w:r w:rsidDel="00000000" w:rsidR="00000000" w:rsidRPr="00000000">
        <w:rPr>
          <w:sz w:val="24"/>
          <w:szCs w:val="24"/>
          <w:rtl w:val="0"/>
        </w:rPr>
        <w:t xml:space="preserve">) where you have made an appropriate risk assessment.</w:t>
      </w:r>
      <w:r w:rsidDel="00000000" w:rsidR="00000000" w:rsidRPr="00000000">
        <w:rPr>
          <w:rFonts w:ascii="Arial" w:cs="Arial" w:eastAsia="Arial" w:hAnsi="Arial"/>
          <w:sz w:val="24"/>
          <w:szCs w:val="24"/>
          <w:rtl w:val="0"/>
        </w:rPr>
        <w:t xml:space="preserve"> Unlimited liability is not permitted.] </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See details in Call-Off Schedule 5 (Pricing Details)</w:t>
      </w: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will not be impacted by any change to the Framework Prices. The Charges can only be changed under the Variation Procedure because of:</w:t>
      </w:r>
    </w:p>
    <w:p w:rsidR="00000000" w:rsidDel="00000000" w:rsidP="00000000" w:rsidRDefault="00000000" w:rsidRPr="00000000" w14:paraId="0000008F">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CONTRACT INDEX</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[Insert details of index]</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[Index subject to cap: Yes/No]</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yes, Cap = x%]</w:t>
      </w:r>
    </w:p>
    <w:p w:rsidR="00000000" w:rsidDel="00000000" w:rsidP="00000000" w:rsidRDefault="00000000" w:rsidRPr="00000000" w14:paraId="00000095">
      <w:pPr>
        <w:tabs>
          <w:tab w:val="left" w:leader="none" w:pos="2257"/>
        </w:tabs>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Delete if fixed price with indexation is not used. Buyer to otherwise insert selected index for use for electricity prices under the Call-Off Contract, provided that it is an index published by the </w:t>
      </w:r>
      <w:r w:rsidDel="00000000" w:rsidR="00000000" w:rsidRPr="00000000">
        <w:rPr>
          <w:color w:val="000000"/>
          <w:sz w:val="24"/>
          <w:szCs w:val="24"/>
          <w:rtl w:val="0"/>
        </w:rPr>
        <w:t xml:space="preserve">Office for National Statistics</w:t>
      </w:r>
      <w:r w:rsidDel="00000000" w:rsidR="00000000" w:rsidRPr="00000000">
        <w:rPr>
          <w:rFonts w:ascii="Arial" w:cs="Arial" w:eastAsia="Arial" w:hAnsi="Arial"/>
          <w:sz w:val="24"/>
          <w:szCs w:val="24"/>
          <w:rtl w:val="0"/>
        </w:rPr>
        <w:t xml:space="preserve">.  Buyers may also choose to cap the maximum indexation applied each Contract Year and to specify the cap here]</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tabs>
          <w:tab w:val="left" w:leader="none" w:pos="2257"/>
        </w:tabs>
        <w:spacing w:after="240" w:line="240" w:lineRule="auto"/>
        <w:ind w:left="143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requiring additional indexes may require alternative arrangements which may require additional drafting]</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None </w:t>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SLEEVING PROVIDER</w:t>
      </w:r>
    </w:p>
    <w:p w:rsidR="00000000" w:rsidDel="00000000" w:rsidP="00000000" w:rsidRDefault="00000000" w:rsidRPr="00000000" w14:paraId="000000AD">
      <w:pPr>
        <w:tabs>
          <w:tab w:val="left" w:leader="none" w:pos="2257"/>
        </w:tabs>
        <w:spacing w:after="0" w:line="259" w:lineRule="auto"/>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Sleeving Supplier, if known] [OR] [The Sleeving Provider shall be appointed by the Buyer in accordance with Call-Off Schedule 30 (</w:t>
      </w:r>
      <w:r w:rsidDel="00000000" w:rsidR="00000000" w:rsidRPr="00000000">
        <w:rPr>
          <w:rFonts w:ascii="Arial" w:cs="Arial" w:eastAsia="Arial" w:hAnsi="Arial"/>
          <w:i w:val="1"/>
          <w:color w:val="000000"/>
          <w:sz w:val="24"/>
          <w:szCs w:val="24"/>
          <w:rtl w:val="0"/>
        </w:rPr>
        <w:t xml:space="preserve">Sleeving Arrangements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The Buyer may specify if the Sleeving Provider is to calculate payments under the Call-Off Contract and provide invoicing services under Call-Off Schedule 20 (</w:t>
      </w:r>
      <w:r w:rsidDel="00000000" w:rsidR="00000000" w:rsidRPr="00000000">
        <w:rPr>
          <w:rFonts w:ascii="Arial" w:cs="Arial" w:eastAsia="Arial" w:hAnsi="Arial"/>
          <w:i w:val="1"/>
          <w:sz w:val="24"/>
          <w:szCs w:val="24"/>
          <w:rtl w:val="0"/>
        </w:rPr>
        <w:t xml:space="preserve">Call-Off Specification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SLEEVING PROVIDER’S INVOICE ADDRESS: </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Delete if Sleeving Provider is not to provide invoicing services under the Call-Off Contract]</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SLEEVING PROVIDER’S AUTHORISED REPRESENTATIVE</w:t>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D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D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D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D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D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D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D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D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D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D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E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E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E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E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E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E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E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E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E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p>
    <w:p w:rsidR="00000000" w:rsidDel="00000000" w:rsidP="00000000" w:rsidRDefault="00000000" w:rsidRPr="00000000" w14:paraId="000000ED">
      <w:pPr>
        <w:tabs>
          <w:tab w:val="left" w:leader="none" w:pos="2257"/>
        </w:tabs>
        <w:spacing w:after="0" w:line="259" w:lineRule="auto"/>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w:t>
      </w:r>
      <w:r w:rsidDel="00000000" w:rsidR="00000000" w:rsidRPr="00000000">
        <w:rPr>
          <w:rFonts w:ascii="Arial" w:cs="Arial" w:eastAsia="Arial" w:hAnsi="Arial"/>
          <w:i w:val="1"/>
          <w:sz w:val="24"/>
          <w:szCs w:val="24"/>
          <w:rtl w:val="0"/>
        </w:rPr>
        <w:t xml:space="preserve">Insurance Requirements</w:t>
      </w:r>
      <w:r w:rsidDel="00000000" w:rsidR="00000000" w:rsidRPr="00000000">
        <w:rPr>
          <w:rFonts w:ascii="Arial" w:cs="Arial" w:eastAsia="Arial" w:hAnsi="Arial"/>
          <w:sz w:val="24"/>
          <w:szCs w:val="24"/>
          <w:rtl w:val="0"/>
        </w:rPr>
        <w:t xml:space="preserve">)]</w:t>
      </w:r>
      <w:bookmarkStart w:colFirst="0" w:colLast="0" w:name="bookmark=id.1fob9te" w:id="3"/>
      <w:bookmarkEnd w:id="3"/>
      <w:r w:rsidDel="00000000" w:rsidR="00000000" w:rsidRPr="00000000">
        <w:rPr>
          <w:rtl w:val="0"/>
        </w:rPr>
      </w:r>
    </w:p>
    <w:p w:rsidR="00000000" w:rsidDel="00000000" w:rsidP="00000000" w:rsidRDefault="00000000" w:rsidRPr="00000000" w14:paraId="000000E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F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Call-Off Guarantor to guarantee their performance using the form in Joint Schedule 8 (Guarantee)</w:t>
      </w:r>
    </w:p>
    <w:p w:rsidR="00000000" w:rsidDel="00000000" w:rsidP="00000000" w:rsidRDefault="00000000" w:rsidRPr="00000000" w14:paraId="000000F1">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F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F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F4">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09">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0A">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0B">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1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2024</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aliases w:val="Style 14,(Alt+1),A MAJOR/BOLD,H1,Header1,Heading,Heading 1 (1),Heading 1 (NN),Heading 1 A,Heading 1(Report Only),Lev 1,Outline1,PIP Head 1,Part,Prophead 1,Prophead level 1,Schedheading,Section Heading,h1,h1 chapter heading,h11,l1,lev1"/>
    <w:basedOn w:val="Normal"/>
    <w:next w:val="Normal"/>
    <w:uiPriority w:val="19"/>
    <w:qFormat w:val="1"/>
    <w:pPr>
      <w:keepNext w:val="1"/>
      <w:keepLines w:val="1"/>
      <w:spacing w:after="120" w:before="480"/>
      <w:outlineLvl w:val="0"/>
    </w:pPr>
    <w:rPr>
      <w:b w:val="1"/>
      <w:sz w:val="48"/>
      <w:szCs w:val="48"/>
    </w:rPr>
  </w:style>
  <w:style w:type="paragraph" w:styleId="Heading2">
    <w:name w:val="heading 2"/>
    <w:aliases w:val="Style 18,1.1 Heading 2,2,21,2m,H2,HD2,Heading Two,KJL:1st Level,Lev 2,Major,Outline2,PARA2,PIP Head 2,Prophead 2,Section,h2,h21,h211,h2111,h212,h2121,h213,h22,h221,h23,h231,h24,headi,heading 2,heading2,lev2,m,paragraaf titel"/>
    <w:basedOn w:val="Normal"/>
    <w:next w:val="Normal"/>
    <w:uiPriority w:val="9"/>
    <w:qFormat w:val="1"/>
    <w:pPr>
      <w:keepNext w:val="1"/>
      <w:keepLines w:val="1"/>
      <w:spacing w:after="80" w:before="360"/>
      <w:outlineLvl w:val="1"/>
    </w:pPr>
    <w:rPr>
      <w:b w:val="1"/>
      <w:sz w:val="36"/>
      <w:szCs w:val="36"/>
    </w:rPr>
  </w:style>
  <w:style w:type="paragraph" w:styleId="Heading3">
    <w:name w:val="heading 3"/>
    <w:aliases w:val="Style 19,(Alt+3),(Alt+3)1,(Alt+3)10,(Alt+3)11,(Alt+3)12,(Alt+3)13,(Alt+3)2,(Alt+3)21,(Alt+3)22,(Alt+3)23,(Alt+3)3,(Alt+3)31,(Alt+3)32,(Alt+3)33,(Alt+3)4,(Alt+3)41,(Alt+3)42,(Alt+3)43,(Alt+3)5,(Alt+3)6,(Alt+3)7,(Alt+3)8,(Alt+3)9,3,h3,heading 3"/>
    <w:basedOn w:val="Normal"/>
    <w:next w:val="Normal"/>
    <w:uiPriority w:val="9"/>
    <w:qFormat w:val="1"/>
    <w:pPr>
      <w:keepNext w:val="1"/>
      <w:keepLines w:val="1"/>
      <w:spacing w:after="80" w:before="280"/>
      <w:outlineLvl w:val="2"/>
    </w:pPr>
    <w:rPr>
      <w:b w:val="1"/>
      <w:sz w:val="28"/>
      <w:szCs w:val="28"/>
    </w:rPr>
  </w:style>
  <w:style w:type="paragraph" w:styleId="Heading4">
    <w:name w:val="heading 4"/>
    <w:aliases w:val="Style 20,g 4"/>
    <w:basedOn w:val="Normal"/>
    <w:next w:val="Normal"/>
    <w:uiPriority w:val="19"/>
    <w:qFormat w:val="1"/>
    <w:pPr>
      <w:keepNext w:val="1"/>
      <w:keepLines w:val="1"/>
      <w:spacing w:after="40" w:before="240"/>
      <w:outlineLvl w:val="3"/>
    </w:pPr>
    <w:rPr>
      <w:b w:val="1"/>
      <w:sz w:val="24"/>
      <w:szCs w:val="24"/>
    </w:rPr>
  </w:style>
  <w:style w:type="paragraph" w:styleId="Heading5">
    <w:name w:val="heading 5"/>
    <w:aliases w:val="Style 21,5,Appendix A to X,H5,H5-Heading 5,H51,Heading 5   Appendix A to X,Heading 5(unused),Heading5,Lev 5,Level 3 - (i),Level 3 - i,PR13,Roman list,Roman list1,Roman list2,Roman list3,Roman list4,Second Subheading,h5,heading5,i) ii) iii),l5"/>
    <w:basedOn w:val="Normal"/>
    <w:next w:val="Normal"/>
    <w:uiPriority w:val="9"/>
    <w:qFormat w:val="1"/>
    <w:pPr>
      <w:keepNext w:val="1"/>
      <w:keepLines w:val="1"/>
      <w:spacing w:after="40" w:before="220"/>
      <w:outlineLvl w:val="4"/>
    </w:pPr>
    <w:rPr>
      <w:b w:val="1"/>
    </w:rPr>
  </w:style>
  <w:style w:type="paragraph" w:styleId="Heading6">
    <w:name w:val="heading 6"/>
    <w:aliases w:val="Style 22,6,H6,H61,H610,H6101,H611,H6111,H612,H6121,H613,H6131,H614,H6141,H615,H6151,H616,H6161,H617,H6171,H618,H6181,H619,H62,H620,H621,H622,H623,H624,H625,H626,H627,H628,H629,H63,H631,H64,H641,H65,H651,H66,H661,H67,H671,H68,H681,H69,H691,h6"/>
    <w:basedOn w:val="Normal"/>
    <w:next w:val="Normal"/>
    <w:uiPriority w:val="9"/>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uiPriority w:val="34"/>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FootnoteText">
    <w:name w:val="footnote text"/>
    <w:basedOn w:val="Normal"/>
    <w:link w:val="FootnoteTextChar"/>
    <w:uiPriority w:val="99"/>
    <w:semiHidden w:val="1"/>
    <w:unhideWhenUsed w:val="1"/>
    <w:rsid w:val="002E39A2"/>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2E39A2"/>
    <w:rPr>
      <w:rFonts w:cs="Times New Roman"/>
      <w:sz w:val="20"/>
      <w:szCs w:val="20"/>
    </w:rPr>
  </w:style>
  <w:style w:type="character" w:styleId="FootnoteReference">
    <w:name w:val="footnote reference"/>
    <w:basedOn w:val="DefaultParagraphFont"/>
    <w:uiPriority w:val="99"/>
    <w:semiHidden w:val="1"/>
    <w:unhideWhenUsed w:val="1"/>
    <w:rsid w:val="002E39A2"/>
    <w:rPr>
      <w:vertAlign w:val="superscript"/>
    </w:rPr>
  </w:style>
  <w:style w:type="paragraph" w:styleId="Agreement1UK2" w:customStyle="1">
    <w:name w:val="Agreement1 (UK) 2"/>
    <w:basedOn w:val="Normal"/>
    <w:next w:val="BodyTextFirstIndent"/>
    <w:link w:val="Agreement1UK2Char"/>
    <w:uiPriority w:val="9"/>
    <w:qFormat w:val="1"/>
    <w:rsid w:val="002724E1"/>
    <w:pPr>
      <w:spacing w:after="240" w:line="240" w:lineRule="auto"/>
      <w:ind w:left="2421" w:hanging="720"/>
      <w:jc w:val="both"/>
      <w:outlineLvl w:val="1"/>
    </w:pPr>
    <w:rPr>
      <w:rFonts w:ascii="Times New Roman" w:hAnsi="Times New Roman"/>
      <w:b w:val="1"/>
      <w:lang w:eastAsia="en-US" w:val="en-CA"/>
    </w:rPr>
  </w:style>
  <w:style w:type="character" w:styleId="Agreement1UK2Char" w:customStyle="1">
    <w:name w:val="Agreement1 (UK) 2 Char"/>
    <w:link w:val="Agreement1UK2"/>
    <w:uiPriority w:val="9"/>
    <w:rsid w:val="002724E1"/>
    <w:rPr>
      <w:rFonts w:ascii="Times New Roman" w:cs="Times New Roman" w:hAnsi="Times New Roman"/>
      <w:b w:val="1"/>
      <w:lang w:eastAsia="en-US" w:val="en-CA"/>
    </w:rPr>
  </w:style>
  <w:style w:type="paragraph" w:styleId="BodyText">
    <w:name w:val="Body Text"/>
    <w:basedOn w:val="Normal"/>
    <w:link w:val="BodyTextChar"/>
    <w:uiPriority w:val="99"/>
    <w:semiHidden w:val="1"/>
    <w:unhideWhenUsed w:val="1"/>
    <w:rsid w:val="002724E1"/>
    <w:pPr>
      <w:spacing w:after="120"/>
    </w:pPr>
  </w:style>
  <w:style w:type="character" w:styleId="BodyTextChar" w:customStyle="1">
    <w:name w:val="Body Text Char"/>
    <w:basedOn w:val="DefaultParagraphFont"/>
    <w:link w:val="BodyText"/>
    <w:uiPriority w:val="99"/>
    <w:semiHidden w:val="1"/>
    <w:rsid w:val="002724E1"/>
    <w:rPr>
      <w:rFonts w:cs="Times New Roman"/>
    </w:rPr>
  </w:style>
  <w:style w:type="paragraph" w:styleId="BodyTextFirstIndent">
    <w:name w:val="Body Text First Indent"/>
    <w:basedOn w:val="BodyText"/>
    <w:link w:val="BodyTextFirstIndentChar"/>
    <w:uiPriority w:val="99"/>
    <w:semiHidden w:val="1"/>
    <w:unhideWhenUsed w:val="1"/>
    <w:rsid w:val="002724E1"/>
    <w:pPr>
      <w:spacing w:after="200"/>
      <w:ind w:firstLine="360"/>
    </w:pPr>
  </w:style>
  <w:style w:type="character" w:styleId="BodyTextFirstIndentChar" w:customStyle="1">
    <w:name w:val="Body Text First Indent Char"/>
    <w:basedOn w:val="BodyTextChar"/>
    <w:link w:val="BodyTextFirstIndent"/>
    <w:uiPriority w:val="99"/>
    <w:semiHidden w:val="1"/>
    <w:rsid w:val="002724E1"/>
    <w:rPr>
      <w:rFonts w:cs="Times New Roman"/>
    </w:rPr>
  </w:style>
  <w:style w:type="paragraph" w:styleId="ssNoHeading3" w:customStyle="1">
    <w:name w:val="ssNoHeading3"/>
    <w:basedOn w:val="Heading3"/>
    <w:uiPriority w:val="29"/>
    <w:qFormat w:val="1"/>
    <w:rsid w:val="0033321D"/>
    <w:pPr>
      <w:keepNext w:val="0"/>
      <w:keepLines w:val="0"/>
      <w:numPr>
        <w:ilvl w:val="3"/>
      </w:numPr>
      <w:tabs>
        <w:tab w:val="num" w:pos="1418"/>
      </w:tabs>
      <w:spacing w:after="260" w:before="0" w:line="240" w:lineRule="auto"/>
      <w:ind w:left="1418" w:hanging="709"/>
      <w:jc w:val="both"/>
    </w:pPr>
    <w:rPr>
      <w:rFonts w:ascii="Arial" w:eastAsia="MingLiU" w:hAnsi="Arial"/>
      <w:b w:val="0"/>
      <w:bCs w:val="1"/>
      <w:sz w:val="22"/>
      <w:szCs w:val="22"/>
    </w:rPr>
  </w:style>
  <w:style w:type="paragraph" w:styleId="ssRestartNumber" w:customStyle="1">
    <w:name w:val="ssRestartNumber"/>
    <w:basedOn w:val="Normal"/>
    <w:next w:val="Normal"/>
    <w:uiPriority w:val="38"/>
    <w:rsid w:val="0033321D"/>
    <w:pPr>
      <w:spacing w:after="0" w:line="240" w:lineRule="auto"/>
      <w:jc w:val="both"/>
    </w:pPr>
    <w:rPr>
      <w:rFonts w:eastAsia="MingLiU" w:asciiTheme="minorHAnsi" w:hAnsiTheme="minorHAnsi"/>
      <w:color w:val="ff0000"/>
    </w:rPr>
  </w:style>
  <w:style w:type="character" w:styleId="ui-provider" w:customStyle="1">
    <w:name w:val="ui-provider"/>
    <w:basedOn w:val="DefaultParagraphFont"/>
    <w:rsid w:val="007C6756"/>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DU3ZRJgsC/UYd0Z6JmxV/7JA==">CgMxLjAyCWguMzBqMHpsbDIIaC5namRneHMyCWguMWZvYjl0ZTIKaWQuMWZvYjl0ZTIJaC4zem55c2g3OABqJAoUc3VnZ2VzdC5oaWQ5NGNmMzZsdDcSDEthc2hpZiBBZnNhcmokChRzdWdnZXN0LjJqM2xpeXRyd2R2NRIMS2FzaGlmIEFmc2FyaiQKFHN1Z2dlc3QuaTM4dnNwdHFtcXI4EgxLYXNoaWYgQWZzYXJyITFvTkMzS3JPR0JfNVRlTXNmMkVQQTc3SFZna0N1ejVw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iManageFooter">
    <vt:lpwstr>#109517338v4&lt;L_LIVE_EMEA1&gt; - PPA v3.0 (Framework Schedule 6 - Order Form Template and Call...docx</vt:lpwstr>
  </property>
</Properties>
</file>